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73AA" w14:textId="3071424E" w:rsidR="0060463C" w:rsidRDefault="0060463C" w:rsidP="0060463C">
      <w:pPr>
        <w:pStyle w:val="Nagwek1"/>
        <w:jc w:val="center"/>
        <w:rPr>
          <w:rFonts w:eastAsiaTheme="minorHAnsi"/>
        </w:rPr>
      </w:pPr>
      <w:r>
        <w:rPr>
          <w:rFonts w:eastAsiaTheme="minorHAnsi"/>
        </w:rPr>
        <w:t>Komunikat Głównego Lekarza Weterynarii dotyczący obszarów wysokiego ryzyka wprowadzenia i rozprzestrzenienia się wirusów wysoce zjadliwej grypy ptaków na terytorium Polski</w:t>
      </w:r>
    </w:p>
    <w:p w14:paraId="1CF331AD" w14:textId="2B8D068C" w:rsidR="0060463C" w:rsidRDefault="0060463C" w:rsidP="0060463C">
      <w:pPr>
        <w:rPr>
          <w:rStyle w:val="aktualnosc-data"/>
        </w:rPr>
      </w:pPr>
      <w:r>
        <w:rPr>
          <w:rStyle w:val="vh"/>
          <w:b/>
          <w:bCs/>
        </w:rPr>
        <w:t>Komunikaty</w:t>
      </w:r>
      <w:r>
        <w:t xml:space="preserve"> </w:t>
      </w:r>
      <w:r>
        <w:rPr>
          <w:rStyle w:val="aktualnosc-data"/>
        </w:rPr>
        <w:t>2021-04-27</w:t>
      </w:r>
    </w:p>
    <w:p w14:paraId="5C40E028" w14:textId="77777777" w:rsidR="00D411AC" w:rsidRDefault="00D411AC" w:rsidP="0060463C"/>
    <w:p w14:paraId="38C5896C" w14:textId="2E57B62B" w:rsidR="0060463C" w:rsidRPr="00D411AC" w:rsidRDefault="0060463C" w:rsidP="0060463C">
      <w:pPr>
        <w:jc w:val="both"/>
        <w:rPr>
          <w:b/>
          <w:bCs/>
        </w:rPr>
      </w:pPr>
      <w:r>
        <w:t xml:space="preserve">W świetle art. 3 decyzji wykonawczej Komisji (UE) 2018/1136 z dnia 10 sierpnia 2018 r. w sprawie środków zmniejszających ryzyko i wzmocnionych środków bezpieczeństwa biologicznego oraz systemów wczesnego wykrywania w związku z ryzykiem stwarzanym przez dzikie ptactwo w odniesieniu do przenoszenia wirusów wysoce zjadliwej grypy ptaków na drób, po zasięgnięciu opinii Państwowego Instytutu Weterynaryjnego - Państwowego Instytutu Badawczego w Puławach, Główny Lekarz Weterynarii informuje o </w:t>
      </w:r>
      <w:r w:rsidRPr="00D411AC">
        <w:rPr>
          <w:b/>
          <w:bCs/>
        </w:rPr>
        <w:t>wyznaczeniu obszarów wysokiego ryzyka wprowadzenia i rozprzestrzenienia się wirusów wysoce zjadliwej grypy ptaków na terytorium Polski:</w:t>
      </w:r>
    </w:p>
    <w:p w14:paraId="75F4493D" w14:textId="77777777" w:rsidR="0060463C" w:rsidRDefault="0060463C" w:rsidP="0060463C">
      <w:pPr>
        <w:jc w:val="both"/>
      </w:pPr>
    </w:p>
    <w:p w14:paraId="0D35CA55" w14:textId="77777777" w:rsidR="0060463C" w:rsidRDefault="0060463C" w:rsidP="0060463C">
      <w:r>
        <w:t>1. w województwie mazowieckim:</w:t>
      </w:r>
    </w:p>
    <w:p w14:paraId="639FC70A" w14:textId="77777777" w:rsidR="0060463C" w:rsidRDefault="0060463C" w:rsidP="0060463C">
      <w:r>
        <w:t>a) powiat żuromiński;</w:t>
      </w:r>
    </w:p>
    <w:p w14:paraId="03A3B243" w14:textId="77777777" w:rsidR="0060463C" w:rsidRDefault="0060463C" w:rsidP="0060463C">
      <w:r>
        <w:t>b) powiat mławski;</w:t>
      </w:r>
    </w:p>
    <w:p w14:paraId="39FA6FD5" w14:textId="77777777" w:rsidR="0060463C" w:rsidRDefault="0060463C" w:rsidP="0060463C">
      <w:r>
        <w:t>c) powiat sierpecki;</w:t>
      </w:r>
    </w:p>
    <w:p w14:paraId="57A120C2" w14:textId="77777777" w:rsidR="0060463C" w:rsidRDefault="0060463C" w:rsidP="0060463C">
      <w:pPr>
        <w:pStyle w:val="NormalnyWeb"/>
      </w:pPr>
      <w:r>
        <w:t>2. w województwie wielkopolskim:</w:t>
      </w:r>
    </w:p>
    <w:p w14:paraId="5B729F45" w14:textId="77777777" w:rsidR="0060463C" w:rsidRDefault="0060463C" w:rsidP="0060463C">
      <w:r>
        <w:t>a) powiat kaliski;</w:t>
      </w:r>
    </w:p>
    <w:p w14:paraId="57551061" w14:textId="77777777" w:rsidR="0060463C" w:rsidRDefault="0060463C" w:rsidP="0060463C">
      <w:r>
        <w:t>b) powiat wolsztyński;</w:t>
      </w:r>
    </w:p>
    <w:p w14:paraId="75622BCE" w14:textId="77777777" w:rsidR="0060463C" w:rsidRDefault="0060463C" w:rsidP="0060463C">
      <w:r>
        <w:t>c) powiat ostrowski;</w:t>
      </w:r>
    </w:p>
    <w:p w14:paraId="5237847B" w14:textId="77777777" w:rsidR="0060463C" w:rsidRDefault="0060463C" w:rsidP="0060463C">
      <w:r>
        <w:t>d) powiat ostrzeszowski;</w:t>
      </w:r>
    </w:p>
    <w:p w14:paraId="36E24C42" w14:textId="77777777" w:rsidR="0060463C" w:rsidRDefault="0060463C" w:rsidP="0060463C">
      <w:pPr>
        <w:pStyle w:val="NormalnyWeb"/>
      </w:pPr>
      <w:r>
        <w:t>3. w województwie warmińsko-mazurskim:</w:t>
      </w:r>
    </w:p>
    <w:p w14:paraId="22945732" w14:textId="77777777" w:rsidR="0060463C" w:rsidRPr="0060463C" w:rsidRDefault="0060463C" w:rsidP="0060463C">
      <w:pPr>
        <w:rPr>
          <w:b/>
          <w:bCs/>
        </w:rPr>
      </w:pPr>
      <w:r w:rsidRPr="0060463C">
        <w:rPr>
          <w:b/>
          <w:bCs/>
        </w:rPr>
        <w:t>a) powiat ostródzki;</w:t>
      </w:r>
    </w:p>
    <w:p w14:paraId="2FE1DD20" w14:textId="77777777" w:rsidR="0060463C" w:rsidRDefault="0060463C" w:rsidP="0060463C">
      <w:r>
        <w:t>b) powiat iławski;</w:t>
      </w:r>
    </w:p>
    <w:p w14:paraId="06ECE4CD" w14:textId="77777777" w:rsidR="0060463C" w:rsidRDefault="0060463C" w:rsidP="0060463C">
      <w:r>
        <w:t>c) powiat nowomiejski;</w:t>
      </w:r>
    </w:p>
    <w:p w14:paraId="49124D96" w14:textId="77777777" w:rsidR="0060463C" w:rsidRDefault="0060463C" w:rsidP="0060463C">
      <w:r>
        <w:t>d) powiat działdowski;</w:t>
      </w:r>
    </w:p>
    <w:p w14:paraId="5E374769" w14:textId="77777777" w:rsidR="0060463C" w:rsidRDefault="0060463C" w:rsidP="0060463C">
      <w:pPr>
        <w:pStyle w:val="NormalnyWeb"/>
      </w:pPr>
      <w:r>
        <w:t>4. w województwie lubuskim:</w:t>
      </w:r>
    </w:p>
    <w:p w14:paraId="09BB71C5" w14:textId="77777777" w:rsidR="0060463C" w:rsidRDefault="0060463C" w:rsidP="0060463C">
      <w:pPr>
        <w:pStyle w:val="NormalnyWeb"/>
      </w:pPr>
      <w:r>
        <w:t>a) powiat gorzowski.</w:t>
      </w:r>
    </w:p>
    <w:p w14:paraId="7708583F" w14:textId="275B9B8A" w:rsidR="0060463C" w:rsidRDefault="0060463C" w:rsidP="0060463C">
      <w:pPr>
        <w:pStyle w:val="NormalnyWeb"/>
        <w:jc w:val="both"/>
      </w:pPr>
      <w:r>
        <w:t>Decyzja wykonawcza Komisji (UE) 2018/1136 z dnia 10 sierpnia 2018 r. w sprawie</w:t>
      </w:r>
      <w:r>
        <w:t xml:space="preserve"> </w:t>
      </w:r>
      <w:r>
        <w:t xml:space="preserve">środków zmniejszających ryzyko i wzmocnionych środków bezpieczeństwa biologicznego oraz systemów wczesnego wykrywania w związku z ryzykiem stwarzanym przez dzikie ptactwo w odniesieniu do przenoszenia wirusów wysoce zjadliwej grypy ptaków na drób w art. 4 ust. 4 określa środki zmniejszające ryzyko oraz wzmocnione środki bezpieczeństwa biologicznego, które mogą być wdrażane w oparciu o oceny sytuacji epidemiologicznej. Środki te uwzględniają następujące </w:t>
      </w:r>
      <w:r w:rsidRPr="00D411AC">
        <w:rPr>
          <w:b/>
          <w:bCs/>
        </w:rPr>
        <w:t>zakazy</w:t>
      </w:r>
      <w:r>
        <w:t>:</w:t>
      </w:r>
    </w:p>
    <w:p w14:paraId="162E663F" w14:textId="77777777" w:rsidR="0060463C" w:rsidRDefault="0060463C" w:rsidP="0060463C">
      <w:pPr>
        <w:pStyle w:val="NormalnyWeb"/>
      </w:pPr>
      <w:r>
        <w:t>a) utrzymywania kaczek i gęsi razem z innymi gatunkami drobiu, chyba że:</w:t>
      </w:r>
    </w:p>
    <w:p w14:paraId="0D152E05" w14:textId="77777777" w:rsidR="0060463C" w:rsidRDefault="0060463C" w:rsidP="0060463C">
      <w:r>
        <w:lastRenderedPageBreak/>
        <w:t>i. ryzyko wprowadzenia wirusa uważane jest za nieistotne ze względu na charakterystykę gospodarstwa i stosowane środki zmniejszające ryzyko, które właściwy organ uznaje za wystarczające; lub</w:t>
      </w:r>
    </w:p>
    <w:p w14:paraId="009332F6" w14:textId="77777777" w:rsidR="0060463C" w:rsidRDefault="0060463C" w:rsidP="0060463C">
      <w:r>
        <w:t>ii. gatunki drobiu inne niż kaczki i gęsi są wykorzystywane jako zwierzęta wskaźnikowe zgodnie z postanowieniami właściwego organu;</w:t>
      </w:r>
    </w:p>
    <w:p w14:paraId="2A16C33D" w14:textId="77777777" w:rsidR="0060463C" w:rsidRDefault="0060463C" w:rsidP="0060463C">
      <w:pPr>
        <w:pStyle w:val="NormalnyWeb"/>
      </w:pPr>
      <w:r>
        <w:t>b) utrzymywania drobiu na wolnym powietrzu, chyba że:</w:t>
      </w:r>
    </w:p>
    <w:p w14:paraId="464CB3A8" w14:textId="77777777" w:rsidR="0060463C" w:rsidRDefault="0060463C" w:rsidP="0060463C">
      <w:r>
        <w:t>i. drób jest chroniony przed kontaktem z dzikim ptactwem za pomocą sieci, dachów, poziomych tkanin lub innych odpowiednich środków zapobiegających temu kontaktowi;</w:t>
      </w:r>
    </w:p>
    <w:p w14:paraId="079517BA" w14:textId="77777777" w:rsidR="0060463C" w:rsidRDefault="0060463C" w:rsidP="0060463C">
      <w:r>
        <w:t>lub</w:t>
      </w:r>
    </w:p>
    <w:p w14:paraId="7DBBF4B6" w14:textId="77777777" w:rsidR="0060463C" w:rsidRDefault="0060463C" w:rsidP="0060463C">
      <w:r>
        <w:t>ii. drób jest karmiony i pojony w zamkniętym pomieszczeniu lub w miejscu osłoniętym, które w dostateczny sposób uniemożliwia dostęp dzikiego ptactwa i tym samym zapobiega kontaktowi dzikiego ptactwa z pokarmem lub wodą przeznaczonymi dla drobiu;</w:t>
      </w:r>
    </w:p>
    <w:p w14:paraId="2EA7E886" w14:textId="77777777" w:rsidR="0060463C" w:rsidRDefault="0060463C" w:rsidP="0060463C">
      <w:pPr>
        <w:pStyle w:val="NormalnyWeb"/>
      </w:pPr>
      <w:r>
        <w:t>c) korzystania ze zbiorników wodnych znajdujących się na wolnym powietrzu w celach związanych z hodowlą drobiu; chyba że jest to wymagane ze względów związanych z dobrostanem zwierząt w przypadku niektórych gatunków drobiu i zbiorniki te są dostatecznie chronione przed dostępem dzikiego ptactwa;</w:t>
      </w:r>
    </w:p>
    <w:p w14:paraId="7A9020A3" w14:textId="77777777" w:rsidR="0060463C" w:rsidRDefault="0060463C" w:rsidP="0060463C">
      <w:pPr>
        <w:pStyle w:val="NormalnyWeb"/>
      </w:pPr>
      <w:r>
        <w:t>d) pojenia drobiu wodą pochodzącą ze zbiorników wód powierzchniowych, do których może mieć dostęp dzikie ptactwo; chyba że woda jest poddawana obróbce zapewniającej inaktywację wirusów grypy ptaków;</w:t>
      </w:r>
    </w:p>
    <w:p w14:paraId="064103C1" w14:textId="77777777" w:rsidR="0060463C" w:rsidRDefault="0060463C" w:rsidP="0060463C">
      <w:pPr>
        <w:pStyle w:val="NormalnyWeb"/>
      </w:pPr>
      <w:r>
        <w:t>e) gromadzenia drobiu i innych ptaków żyjących w niewoli na targach, pokazach, wystawach i imprezach kulturalnych; chyba że takie wydarzenia są organizowane i zarządza się nimi w taki sposób, że ryzyko przenoszenia wirusa przez potencjalnie zakażone ptaki na inne ptactwo jest ograniczone do minimum;</w:t>
      </w:r>
    </w:p>
    <w:p w14:paraId="0739C461" w14:textId="77777777" w:rsidR="0060463C" w:rsidRDefault="0060463C" w:rsidP="0060463C">
      <w:pPr>
        <w:pStyle w:val="NormalnyWeb"/>
      </w:pPr>
      <w:r>
        <w:t xml:space="preserve">f) wykorzystywania jako wabików ptaków rzędów </w:t>
      </w:r>
      <w:proofErr w:type="spellStart"/>
      <w:r>
        <w:t>Anseriformes</w:t>
      </w:r>
      <w:proofErr w:type="spellEnd"/>
      <w:r>
        <w:t xml:space="preserve"> oraz </w:t>
      </w:r>
      <w:proofErr w:type="spellStart"/>
      <w:r>
        <w:t>Charadriiformes</w:t>
      </w:r>
      <w:proofErr w:type="spellEnd"/>
      <w:r>
        <w:t>; chyba że są wykorzystywane w ramach programu nadzoru pod kątem grypy ptaków prowadzonego zgodnie z art. 4 dyrektywy 2005/94/WE, projektów badawczych, badań ornitologicznych lub wszelkiej innej działalności dozwolonej przez właściwy organ;</w:t>
      </w:r>
    </w:p>
    <w:p w14:paraId="4E2F78BB" w14:textId="77777777" w:rsidR="0060463C" w:rsidRDefault="0060463C" w:rsidP="0060463C">
      <w:pPr>
        <w:pStyle w:val="NormalnyWeb"/>
      </w:pPr>
      <w:r>
        <w:t>g) wypuszczania drobiu w celu odnowy populacji ptaków łownych; chyba że właściwe organy zezwolą na to, pod warunkiem że:</w:t>
      </w:r>
    </w:p>
    <w:p w14:paraId="0E378051" w14:textId="77777777" w:rsidR="0060463C" w:rsidRDefault="0060463C" w:rsidP="0060463C">
      <w:r>
        <w:t>i. działania te są prowadzone w oddzieleniu od innych gospodarstw; oraz</w:t>
      </w:r>
    </w:p>
    <w:p w14:paraId="024269DD" w14:textId="77777777" w:rsidR="0060463C" w:rsidRDefault="0060463C" w:rsidP="0060463C">
      <w:r>
        <w:t>ii. drób przeznaczony na odnowę populacji został przebadany wirusologicznie zgodnie z rozdziałem IV pkt 4 lit. a) podręcznika diagnostycznego dotyczącego grypy ptaków zawartego w załączniku do decyzji Komisji 2006/437/WE (6) i wyniki tego badania były negatywne, to znaczy nie stwierdzono obecności grypy ptaków w próbkach pobranych z każdej jednostki produkcyjnej w ciągu 48 godzin przed wypuszczeniem tego drobiu.</w:t>
      </w:r>
    </w:p>
    <w:p w14:paraId="48E3ECDF" w14:textId="77777777" w:rsidR="0060463C" w:rsidRDefault="0060463C" w:rsidP="0060463C">
      <w:pPr>
        <w:pStyle w:val="NormalnyWeb"/>
      </w:pPr>
      <w:r>
        <w:t>W zależności od sytuacji epizootycznej na danym obszarze, zakazy, o których mowa powyżej, może wprowadzić powiatowy lekarz weterynarii lub wojewoda na wniosek wojewódzkiego lekarza weterynarii.</w:t>
      </w:r>
    </w:p>
    <w:p w14:paraId="6B02F995" w14:textId="77777777" w:rsidR="0060463C" w:rsidRDefault="0060463C" w:rsidP="0060463C"/>
    <w:p w14:paraId="08FF0FA1" w14:textId="77777777" w:rsidR="0060463C" w:rsidRDefault="0060463C"/>
    <w:sectPr w:rsidR="0060463C" w:rsidSect="0060463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3C"/>
    <w:rsid w:val="0060463C"/>
    <w:rsid w:val="00D4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9A7A"/>
  <w15:chartTrackingRefBased/>
  <w15:docId w15:val="{3CEAFFAD-6ECF-4086-8DFE-76B8E64D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3C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46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63C"/>
    <w:rPr>
      <w:rFonts w:ascii="Calibri" w:eastAsia="Times New Roman" w:hAnsi="Calibri" w:cs="Calibri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463C"/>
    <w:pPr>
      <w:spacing w:before="100" w:beforeAutospacing="1" w:after="100" w:afterAutospacing="1"/>
    </w:pPr>
  </w:style>
  <w:style w:type="character" w:customStyle="1" w:styleId="vh">
    <w:name w:val="vh"/>
    <w:basedOn w:val="Domylnaczcionkaakapitu"/>
    <w:rsid w:val="0060463C"/>
  </w:style>
  <w:style w:type="character" w:customStyle="1" w:styleId="aktualnosc-data">
    <w:name w:val="aktualnosc-data"/>
    <w:basedOn w:val="Domylnaczcionkaakapitu"/>
    <w:rsid w:val="0060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IBakalarczyk</dc:creator>
  <cp:keywords/>
  <dc:description/>
  <cp:lastModifiedBy>IBakalarczyk</cp:lastModifiedBy>
  <cp:revision>2</cp:revision>
  <dcterms:created xsi:type="dcterms:W3CDTF">2021-04-30T10:46:00Z</dcterms:created>
  <dcterms:modified xsi:type="dcterms:W3CDTF">2021-04-30T10:50:00Z</dcterms:modified>
</cp:coreProperties>
</file>